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head for the bridge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head for the bridge,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cross it as under the bridge the boats pass,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this river the traffic never stops,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this river the traffic never stops,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walk with visions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visions of croissants,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coffee in a cup,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dressed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dressed up in a light coat and hat by the Seine,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dressed up and in Paris yet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Paris yet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walk fast and quickly I reach the cafe,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je manger mon cheri,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je manger mon cheri,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waitress says in French,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reply Oui,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I ask,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Madame,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avez-vous des croissants s'il vous plait,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et du jus d'orange dans un verre et du thé,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nods and smiles, and she goes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a smile 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proud of my little French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proud of my little French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 sit here quite happily all day, at the cafe,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newspaper to read,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 sit here quite happily all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watching the river flow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boats,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boats,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 observe in my own quiet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watch and wait for my croissants,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jus d'orange,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du thé,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wait as the sun shines down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think of the Champs-elysees,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gardens of Versailles,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the restaurants at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Chardonnay,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watch,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a man shrugs animatedly,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across the road at the market,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haggles over some fruit,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pair of ladies,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kiss each other on both cheeks,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chat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waitress brings me my drinks,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think of the dusty books,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bookshop of Shakespeare and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drink the d'orange and the du thé,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people watch,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they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live out their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stage,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stage,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which they play.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